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宋体" w:hAnsi="宋体" w:eastAsia="宋体"/>
          <w:color w:val="FF0000"/>
          <w:sz w:val="128"/>
          <w:szCs w:val="128"/>
        </w:rPr>
      </w:pPr>
      <w:bookmarkStart w:id="2" w:name="_GoBack"/>
      <w:bookmarkEnd w:id="2"/>
    </w:p>
    <w:p>
      <w:pPr>
        <w:snapToGrid w:val="0"/>
        <w:jc w:val="center"/>
        <w:rPr>
          <w:rFonts w:hint="eastAsia" w:ascii="方正小标宋简体" w:hAnsi="华文中宋" w:eastAsia="方正小标宋简体"/>
          <w:color w:val="FF0000"/>
          <w:position w:val="-40"/>
          <w:sz w:val="120"/>
          <w:szCs w:val="120"/>
        </w:rPr>
      </w:pPr>
      <w:r>
        <w:rPr>
          <w:rFonts w:hint="eastAsia" w:ascii="方正小标宋简体" w:hAnsi="华文中宋" w:eastAsia="方正小标宋简体"/>
          <w:color w:val="FF0000"/>
          <w:w w:val="66"/>
          <w:position w:val="-40"/>
          <w:sz w:val="120"/>
          <w:szCs w:val="120"/>
        </w:rPr>
        <w:t>新乡医学院三全学院文件</w:t>
      </w:r>
    </w:p>
    <w:p>
      <w:pPr>
        <w:adjustRightInd w:val="0"/>
        <w:snapToGrid w:val="0"/>
        <w:spacing w:line="240" w:lineRule="auto"/>
        <w:jc w:val="center"/>
        <w:rPr>
          <w:rFonts w:hint="eastAsia" w:ascii="仿宋_GB2312" w:eastAsia="仿宋_GB2312"/>
          <w:szCs w:val="32"/>
          <w:lang w:eastAsia="zh-CN"/>
        </w:rPr>
      </w:pPr>
    </w:p>
    <w:p>
      <w:pPr>
        <w:adjustRightInd w:val="0"/>
        <w:snapToGrid w:val="0"/>
        <w:spacing w:line="360" w:lineRule="auto"/>
        <w:jc w:val="center"/>
        <w:rPr>
          <w:rFonts w:hint="eastAsia" w:ascii="仿宋_GB2312"/>
          <w:szCs w:val="32"/>
        </w:rPr>
      </w:pPr>
    </w:p>
    <w:p>
      <w:pPr>
        <w:adjustRightInd w:val="0"/>
        <w:snapToGrid w:val="0"/>
        <w:spacing w:line="360" w:lineRule="auto"/>
        <w:jc w:val="center"/>
        <w:rPr>
          <w:rFonts w:hint="eastAsia" w:ascii="仿宋_GB2312" w:eastAsia="仿宋_GB2312"/>
          <w:szCs w:val="32"/>
          <w:lang w:eastAsia="zh-CN"/>
        </w:rPr>
      </w:pPr>
      <w:bookmarkStart w:id="0" w:name="doc_mark"/>
      <w:r>
        <w:rPr>
          <w:rFonts w:hint="eastAsia" w:ascii="仿宋_GB2312"/>
          <w:szCs w:val="32"/>
          <w:lang w:eastAsia="zh-CN"/>
        </w:rPr>
        <w:t>院发〔2025〕45号</w:t>
      </w:r>
      <w:bookmarkEnd w:id="0"/>
      <w:r>
        <w:rPr>
          <w:rFonts w:ascii="仿宋_GB2312" w:cs="仿宋_GB2312"/>
          <w:szCs w:val="32"/>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364490</wp:posOffset>
                </wp:positionV>
                <wp:extent cx="5715000" cy="1270"/>
                <wp:effectExtent l="0" t="9525" r="12065" b="16510"/>
                <wp:wrapNone/>
                <wp:docPr id="1" name="Line 16"/>
                <wp:cNvGraphicFramePr/>
                <a:graphic xmlns:a="http://schemas.openxmlformats.org/drawingml/2006/main">
                  <a:graphicData uri="http://schemas.microsoft.com/office/word/2010/wordprocessingShape">
                    <wps:wsp>
                      <wps:cNvCnPr/>
                      <wps:spPr bwMode="auto">
                        <a:xfrm>
                          <a:off x="0" y="0"/>
                          <a:ext cx="5715000" cy="1268"/>
                        </a:xfrm>
                        <a:prstGeom prst="line">
                          <a:avLst/>
                        </a:prstGeom>
                        <a:ln w="19050" cap="flat" cmpd="sng">
                          <a:solidFill>
                            <a:srgbClr val="FF0000"/>
                          </a:solidFill>
                          <a:prstDash val="solid"/>
                          <a:headEnd type="none" w="med" len="med"/>
                          <a:tailEnd type="none" w="med" len="med"/>
                        </a:ln>
                      </wps:spPr>
                      <wps:bodyPr rot="0">
                        <a:noAutofit/>
                      </wps:bodyPr>
                    </wps:wsp>
                  </a:graphicData>
                </a:graphic>
              </wp:anchor>
            </w:drawing>
          </mc:Choice>
          <mc:Fallback>
            <w:pict>
              <v:line id="Line 16" o:spid="_x0000_s1026" o:spt="20" style="position:absolute;left:0pt;margin-left:-1.65pt;margin-top:28.7pt;height:0.1pt;width:450pt;z-index:251659264;mso-width-relative:page;mso-height-relative:page;" filled="f" stroked="t" coordsize="21600,21600" o:gfxdata="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TGyfF9kAAAAIAQAADwAAAAAAAAABACAAAAA4AAAA&#10;ZHJzL2Rvd25yZXYueG1sUEsBAhQAFAAAAAgAh07iQG8xBnbwAQAAAgQAAA4AAAAAAAAAAQAgAAAA&#10;PgEAAGRycy9lMm9Eb2MueG1sUEsFBgAAAAAGAAYAWQEAAKAFAAAAAA==&#10;">
                <v:fill on="f" focussize="0,0"/>
                <v:stroke weight="1.5pt" color="#FF0000" joinstyle="round"/>
                <v:imagedata o:title=""/>
                <o:lock v:ext="edit" aspectratio="f"/>
              </v:line>
            </w:pict>
          </mc:Fallback>
        </mc:AlternateContent>
      </w:r>
    </w:p>
    <w:p>
      <w:pPr>
        <w:pBdr>
          <w:top w:val="none" w:color="000000" w:sz="0" w:space="0"/>
          <w:left w:val="none" w:color="000000" w:sz="0" w:space="0"/>
          <w:bottom w:val="none" w:color="000000" w:sz="0" w:space="0"/>
          <w:right w:val="none" w:color="000000" w:sz="0" w:space="0"/>
        </w:pBdr>
        <w:snapToGrid w:val="0"/>
        <w:spacing w:before="0" w:after="0"/>
        <w:ind w:left="0" w:right="0" w:firstLine="0"/>
        <w:jc w:val="left"/>
        <w:rPr>
          <w:rFonts w:ascii="方正小标宋简体" w:hAnsi="方正小标宋简体" w:eastAsia="方正小标宋简体" w:cs="方正小标宋简体"/>
          <w:snapToGrid/>
          <w:color w:val="000000"/>
          <w:sz w:val="44"/>
          <w:szCs w:val="44"/>
          <w:highlight w:val="none"/>
        </w:rPr>
      </w:pPr>
    </w:p>
    <w:p>
      <w:pPr>
        <w:snapToGrid w:val="0"/>
        <w:jc w:val="center"/>
        <w:rPr>
          <w:rFonts w:ascii="方正小标宋简体" w:hAnsi="方正小标宋简体" w:eastAsia="方正小标宋简体" w:cs="方正小标宋简体"/>
          <w:snapToGrid/>
          <w:color w:val="000000"/>
          <w:sz w:val="44"/>
          <w:szCs w:val="44"/>
        </w:rPr>
      </w:pPr>
      <w:r>
        <w:rPr>
          <w:rFonts w:ascii="方正小标宋简体" w:hAnsi="方正小标宋简体" w:eastAsia="方正小标宋简体" w:cs="方正小标宋简体"/>
          <w:color w:val="000000"/>
          <w:sz w:val="44"/>
        </w:rPr>
        <w:t>关于印发《</w:t>
      </w:r>
      <w:r>
        <w:rPr>
          <w:rFonts w:hint="eastAsia" w:ascii="方正小标宋简体" w:hAnsi="Times New Roman" w:eastAsia="方正小标宋简体" w:cs="Times New Roman"/>
          <w:sz w:val="44"/>
          <w:szCs w:val="44"/>
        </w:rPr>
        <w:t>新乡医学院三全学院高等学历继续教育本科毕业生学士学位授予实施办法</w:t>
      </w:r>
      <w:r>
        <w:rPr>
          <w:rFonts w:ascii="方正小标宋简体" w:hAnsi="方正小标宋简体" w:eastAsia="方正小标宋简体" w:cs="方正小标宋简体"/>
          <w:color w:val="000000"/>
          <w:sz w:val="44"/>
        </w:rPr>
        <w:t>》的</w:t>
      </w:r>
    </w:p>
    <w:p>
      <w:pPr>
        <w:snapToGrid w:val="0"/>
        <w:jc w:val="center"/>
        <w:rPr>
          <w:rFonts w:hint="eastAsia" w:ascii="方正小标宋简体" w:hAnsi="Times New Roman" w:eastAsia="方正小标宋简体" w:cs="Times New Roman"/>
          <w:sz w:val="44"/>
          <w:szCs w:val="44"/>
        </w:rPr>
      </w:pPr>
      <w:r>
        <w:rPr>
          <w:rFonts w:ascii="方正小标宋简体" w:hAnsi="方正小标宋简体" w:eastAsia="方正小标宋简体" w:cs="方正小标宋简体"/>
          <w:color w:val="000000"/>
          <w:sz w:val="44"/>
        </w:rPr>
        <w:t>通  知</w:t>
      </w:r>
    </w:p>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p>
      <w:pPr>
        <w:pBdr>
          <w:top w:val="none" w:color="000000" w:sz="0" w:space="0"/>
          <w:left w:val="none" w:color="000000" w:sz="0" w:space="0"/>
          <w:bottom w:val="none" w:color="000000" w:sz="0" w:space="0"/>
          <w:right w:val="none" w:color="000000" w:sz="0" w:space="0"/>
        </w:pBdr>
        <w:spacing w:before="0" w:after="0" w:line="597" w:lineRule="atLeast"/>
        <w:ind w:left="0" w:right="0" w:firstLine="0"/>
        <w:jc w:val="both"/>
      </w:pPr>
      <w:r>
        <w:rPr>
          <w:rFonts w:ascii="仿宋_GB2312" w:hAnsi="仿宋_GB2312" w:eastAsia="仿宋_GB2312" w:cs="仿宋_GB2312"/>
          <w:color w:val="000000"/>
          <w:sz w:val="32"/>
        </w:rPr>
        <w:t>各单位：</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spacing w:before="0" w:after="0" w:line="597" w:lineRule="atLeast"/>
        <w:ind w:left="0" w:leftChars="0" w:right="0" w:firstLine="640" w:firstLineChars="200"/>
        <w:jc w:val="both"/>
        <w:rPr>
          <w:rFonts w:ascii="仿宋_GB2312" w:hAnsi="仿宋_GB2312" w:eastAsia="仿宋_GB2312" w:cs="仿宋_GB2312"/>
          <w:color w:val="000000"/>
          <w:sz w:val="32"/>
          <w:szCs w:val="32"/>
          <w14:ligatures w14:val="none"/>
        </w:rPr>
      </w:pPr>
      <w:r>
        <w:rPr>
          <w:rFonts w:ascii="仿宋_GB2312" w:hAnsi="仿宋_GB2312" w:eastAsia="仿宋_GB2312" w:cs="仿宋_GB2312"/>
          <w:color w:val="000000"/>
          <w:sz w:val="32"/>
        </w:rPr>
        <w:t>现</w:t>
      </w:r>
      <w:r>
        <w:rPr>
          <w:rFonts w:ascii="仿宋_GB2312" w:hAnsi="仿宋_GB2312" w:eastAsia="仿宋_GB2312" w:cs="仿宋_GB2312"/>
          <w:snapToGrid w:val="0"/>
          <w:color w:val="000000"/>
          <w:kern w:val="0"/>
          <w:sz w:val="32"/>
          <w:szCs w:val="32"/>
        </w:rPr>
        <w:t>将《新乡医学院三全学院高等学历继续教育</w:t>
      </w:r>
      <w:r>
        <w:rPr>
          <w:rFonts w:ascii="仿宋_GB2312" w:hAnsi="仿宋_GB2312" w:eastAsia="仿宋_GB2312" w:cs="仿宋_GB2312"/>
          <w:color w:val="000000"/>
          <w:sz w:val="32"/>
          <w:szCs w:val="32"/>
        </w:rPr>
        <w:t>本科毕业生学士学位授予实施办法》印发给你们，望遵照执行。</w:t>
      </w:r>
    </w:p>
    <w:p>
      <w:pPr>
        <w:pBdr>
          <w:top w:val="none" w:color="000000" w:sz="0" w:space="0"/>
          <w:left w:val="none" w:color="000000" w:sz="0" w:space="0"/>
          <w:bottom w:val="none" w:color="000000" w:sz="0" w:space="0"/>
          <w:right w:val="none" w:color="000000" w:sz="0" w:space="0"/>
        </w:pBdr>
        <w:spacing w:before="0" w:after="0" w:line="597" w:lineRule="exact"/>
        <w:ind w:left="0" w:right="0" w:firstLine="0"/>
        <w:jc w:val="center"/>
      </w:pPr>
    </w:p>
    <w:p>
      <w:pPr>
        <w:pBdr>
          <w:top w:val="none" w:color="000000" w:sz="0" w:space="0"/>
          <w:left w:val="none" w:color="000000" w:sz="0" w:space="0"/>
          <w:bottom w:val="none" w:color="000000" w:sz="0" w:space="0"/>
          <w:right w:val="none" w:color="000000" w:sz="0" w:space="0"/>
        </w:pBdr>
        <w:spacing w:before="0" w:after="0" w:line="597" w:lineRule="exact"/>
        <w:ind w:left="0" w:right="0" w:firstLine="0"/>
        <w:jc w:val="center"/>
        <w:rPr>
          <w:snapToGrid/>
        </w:rPr>
      </w:pP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after="0" w:line="597" w:lineRule="atLeast"/>
        <w:ind w:left="0" w:right="1120" w:rightChars="350" w:firstLine="0"/>
        <w:jc w:val="right"/>
        <w:rPr>
          <w:rFonts w:eastAsia="仿宋_GB2312"/>
          <w:snapToGrid/>
        </w:rPr>
      </w:pPr>
      <w:r>
        <w:rPr>
          <w:rFonts w:ascii="仿宋_GB2312" w:hAnsi="仿宋_GB2312" w:eastAsia="仿宋_GB2312" w:cs="仿宋_GB2312"/>
          <w:color w:val="000000"/>
          <w:sz w:val="32"/>
        </w:rPr>
        <w:t>新乡医学院三全学院</w:t>
      </w:r>
    </w:p>
    <w:p>
      <w:p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adjustRightInd/>
        <w:snapToGrid w:val="0"/>
        <w:spacing w:before="0" w:after="0" w:line="597" w:lineRule="atLeast"/>
        <w:ind w:left="0" w:right="1280" w:rightChars="400" w:firstLine="0"/>
        <w:jc w:val="right"/>
        <w:rPr>
          <w:rFonts w:eastAsia="仿宋_GB2312"/>
          <w:snapToGrid/>
        </w:rPr>
      </w:pPr>
      <w:r>
        <w:rPr>
          <w:rFonts w:ascii="仿宋_GB2312" w:hAnsi="仿宋_GB2312" w:eastAsia="仿宋_GB2312" w:cs="仿宋_GB2312"/>
          <w:color w:val="000000"/>
          <w:sz w:val="32"/>
        </w:rPr>
        <w:t>2025年6月20日</w:t>
      </w:r>
    </w:p>
    <w:p>
      <w:pPr>
        <w:snapToGrid w:val="0"/>
        <w:jc w:val="center"/>
        <w:rPr>
          <w:rFonts w:hint="eastAsia" w:ascii="方正小标宋简体" w:hAnsi="Times New Roman" w:eastAsia="方正小标宋简体" w:cs="Times New Roman"/>
          <w:sz w:val="44"/>
          <w:szCs w:val="44"/>
        </w:rPr>
      </w:pPr>
      <w:bookmarkStart w:id="1" w:name="Content"/>
      <w:bookmarkEnd w:id="1"/>
      <w:r>
        <w:rPr>
          <w:rFonts w:hint="eastAsia" w:ascii="方正小标宋简体" w:hAnsi="Times New Roman" w:eastAsia="方正小标宋简体" w:cs="Times New Roman"/>
          <w:sz w:val="44"/>
          <w:szCs w:val="44"/>
        </w:rPr>
        <w:t>新乡医学院三全学院高等学历继续教育</w:t>
      </w:r>
    </w:p>
    <w:p>
      <w:pPr>
        <w:snapToGrid w:val="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本科毕业生学士学位授予实施办法</w:t>
      </w:r>
    </w:p>
    <w:p>
      <w:pPr>
        <w:snapToGrid w:val="0"/>
        <w:jc w:val="center"/>
        <w:rPr>
          <w:rFonts w:hint="eastAsia" w:ascii="仿宋_GB2312" w:hAnsi="仿宋_GB2312" w:eastAsia="仿宋_GB2312" w:cs="仿宋_GB2312"/>
          <w:sz w:val="32"/>
          <w:szCs w:val="32"/>
        </w:rPr>
      </w:pPr>
    </w:p>
    <w:p>
      <w:pPr>
        <w:adjustRightInd w:val="0"/>
        <w:snapToGrid w:val="0"/>
        <w:spacing w:line="597" w:lineRule="exact"/>
        <w:jc w:val="center"/>
        <w:rPr>
          <w:rFonts w:hint="eastAsia" w:ascii="黑体" w:hAnsi="Times New Roman" w:eastAsia="黑体" w:cs="Times New Roman"/>
          <w:szCs w:val="32"/>
        </w:rPr>
      </w:pPr>
      <w:r>
        <w:rPr>
          <w:rFonts w:hint="eastAsia" w:ascii="黑体" w:hAnsi="Times New Roman" w:eastAsia="黑体" w:cs="Times New Roman"/>
          <w:szCs w:val="32"/>
        </w:rPr>
        <w:t>第一章  总  则</w:t>
      </w:r>
    </w:p>
    <w:p>
      <w:pPr>
        <w:widowControl w:val="0"/>
        <w:adjustRightInd w:val="0"/>
        <w:snapToGrid w:val="0"/>
        <w:spacing w:line="597"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第一条  </w:t>
      </w:r>
      <w:r>
        <w:rPr>
          <w:rFonts w:ascii="仿宋_GB2312" w:hAnsi="仿宋" w:eastAsia="仿宋_GB2312" w:cs="Times New Roman"/>
          <w:kern w:val="2"/>
          <w:sz w:val="32"/>
          <w:szCs w:val="32"/>
          <w:lang w:val="en-US" w:eastAsia="zh-CN" w:bidi="ar-SA"/>
        </w:rPr>
        <w:t>为规范</w:t>
      </w:r>
      <w:r>
        <w:rPr>
          <w:rFonts w:hint="eastAsia" w:ascii="仿宋_GB2312" w:hAnsi="仿宋" w:eastAsia="仿宋_GB2312" w:cs="Times New Roman"/>
          <w:kern w:val="2"/>
          <w:sz w:val="32"/>
          <w:szCs w:val="32"/>
          <w:lang w:val="en-US" w:eastAsia="zh-CN" w:bidi="ar-SA"/>
        </w:rPr>
        <w:t>学校高等学历继续教育</w:t>
      </w:r>
      <w:r>
        <w:rPr>
          <w:rFonts w:ascii="仿宋_GB2312" w:hAnsi="仿宋" w:eastAsia="仿宋_GB2312" w:cs="Times New Roman"/>
          <w:kern w:val="2"/>
          <w:sz w:val="32"/>
          <w:szCs w:val="32"/>
          <w:lang w:val="en-US" w:eastAsia="zh-CN" w:bidi="ar-SA"/>
        </w:rPr>
        <w:t>学位授予工作，保护学位申请人的合法权益，保障学位质量，</w:t>
      </w:r>
      <w:r>
        <w:rPr>
          <w:rFonts w:hint="eastAsia" w:ascii="仿宋_GB2312" w:hAnsi="仿宋" w:eastAsia="仿宋_GB2312" w:cs="Times New Roman"/>
          <w:kern w:val="2"/>
          <w:sz w:val="32"/>
          <w:szCs w:val="32"/>
          <w:lang w:val="en-US" w:eastAsia="zh-CN" w:bidi="ar-SA"/>
        </w:rPr>
        <w:t>根据《中华人民共和国学位法》</w:t>
      </w:r>
      <w:r>
        <w:rPr>
          <w:rFonts w:hint="eastAsia" w:ascii="仿宋_GB2312" w:hAnsi="仿宋_GB2312" w:eastAsia="仿宋_GB2312" w:cs="仿宋_GB2312"/>
          <w:kern w:val="2"/>
          <w:sz w:val="32"/>
          <w:szCs w:val="32"/>
          <w:lang w:val="en-US" w:eastAsia="zh-CN" w:bidi="ar-SA"/>
        </w:rPr>
        <w:t>《学士学位授权与授予管理办法》（学位〔2019〕20 号）、</w:t>
      </w:r>
      <w:r>
        <w:rPr>
          <w:rFonts w:hint="eastAsia" w:ascii="仿宋_GB2312" w:hAnsi="仿宋" w:eastAsia="仿宋_GB2312" w:cs="Times New Roman"/>
          <w:kern w:val="2"/>
          <w:sz w:val="32"/>
          <w:szCs w:val="32"/>
          <w:lang w:val="en-US" w:eastAsia="zh-CN" w:bidi="ar-SA"/>
        </w:rPr>
        <w:t>《国务院学位委员会关于授予成人高等教育本科毕业生学士学位暂行规定》（</w:t>
      </w:r>
      <w:r>
        <w:rPr>
          <w:rFonts w:hint="eastAsia" w:ascii="仿宋_GB2312" w:hAnsi="仿宋_GB2312" w:eastAsia="仿宋_GB2312" w:cs="仿宋_GB2312"/>
          <w:kern w:val="2"/>
          <w:sz w:val="32"/>
          <w:szCs w:val="32"/>
          <w:shd w:val="clear" w:color="auto" w:fill="FFFFFF"/>
          <w:lang w:val="en-US" w:eastAsia="zh-CN" w:bidi="ar-SA"/>
        </w:rPr>
        <w:t>〔</w:t>
      </w:r>
      <w:r>
        <w:rPr>
          <w:rFonts w:hint="eastAsia" w:ascii="仿宋_GB2312" w:hAnsi="仿宋" w:eastAsia="仿宋_GB2312" w:cs="Times New Roman"/>
          <w:kern w:val="2"/>
          <w:sz w:val="32"/>
          <w:szCs w:val="32"/>
          <w:lang w:val="en-US" w:eastAsia="zh-CN" w:bidi="ar-SA"/>
        </w:rPr>
        <w:t>88〕学位字012号）等有关</w:t>
      </w:r>
      <w:r>
        <w:rPr>
          <w:rFonts w:hint="eastAsia" w:ascii="仿宋_GB2312" w:hAnsi="仿宋_GB2312" w:eastAsia="仿宋_GB2312" w:cs="仿宋_GB2312"/>
          <w:kern w:val="2"/>
          <w:sz w:val="32"/>
          <w:szCs w:val="32"/>
          <w:lang w:val="en-US" w:eastAsia="zh-CN" w:bidi="ar-SA"/>
        </w:rPr>
        <w:t>规定，结合我校实际，制定本办法。</w:t>
      </w:r>
    </w:p>
    <w:p>
      <w:pPr>
        <w:widowControl w:val="0"/>
        <w:adjustRightInd w:val="0"/>
        <w:snapToGrid w:val="0"/>
        <w:spacing w:line="597"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第二条  学位工作坚持中国共产党的领导，全面贯彻国家的教育方针，践行社会主义核心价值观，落实立德树人根本任务，遵循教育规律，坚持公平、公正、公开，坚持学术自由与学术规范相统一，促进创新发展，提高人才自主培养质量。</w:t>
      </w:r>
    </w:p>
    <w:p>
      <w:pPr>
        <w:widowControl w:val="0"/>
        <w:adjustRightInd w:val="0"/>
        <w:snapToGrid w:val="0"/>
        <w:spacing w:line="597"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第三条  学校经河南省学位委员会批准成为学位授予单位，其授予的学科、专业为学位授予点，可依据本办法授予相应学位。</w:t>
      </w:r>
    </w:p>
    <w:p>
      <w:pPr>
        <w:widowControl w:val="0"/>
        <w:adjustRightInd w:val="0"/>
        <w:snapToGrid w:val="0"/>
        <w:spacing w:line="597" w:lineRule="exact"/>
        <w:ind w:firstLine="640" w:firstLineChars="200"/>
        <w:jc w:val="both"/>
        <w:rPr>
          <w:rFonts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第四条  学校高等学历继续教育本科毕业生学士学位授予工作实行河南省学位委员会、学校学位评定委员会、继续教育学院分级管理，由学校学位评定委员会统一负责，继续教育学院具体实施。</w:t>
      </w:r>
    </w:p>
    <w:p>
      <w:pPr>
        <w:widowControl w:val="0"/>
        <w:adjustRightInd w:val="0"/>
        <w:snapToGrid w:val="0"/>
        <w:spacing w:line="597" w:lineRule="exact"/>
        <w:ind w:firstLine="640" w:firstLineChars="200"/>
        <w:jc w:val="both"/>
        <w:rPr>
          <w:rFonts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第五条 </w:t>
      </w:r>
      <w:r>
        <w:rPr>
          <w:rFonts w:ascii="仿宋_GB2312" w:hAnsi="仿宋" w:eastAsia="仿宋_GB2312" w:cs="Times New Roman"/>
          <w:kern w:val="2"/>
          <w:sz w:val="32"/>
          <w:szCs w:val="32"/>
          <w:lang w:val="en-US" w:eastAsia="zh-CN" w:bidi="ar-SA"/>
        </w:rPr>
        <w:t xml:space="preserve"> </w:t>
      </w:r>
      <w:r>
        <w:rPr>
          <w:rFonts w:hint="eastAsia" w:ascii="仿宋_GB2312" w:hAnsi="仿宋" w:eastAsia="仿宋_GB2312" w:cs="Times New Roman"/>
          <w:kern w:val="2"/>
          <w:sz w:val="32"/>
          <w:szCs w:val="32"/>
          <w:lang w:val="en-US" w:eastAsia="zh-CN" w:bidi="ar-SA"/>
        </w:rPr>
        <w:t>高等学历继续教育本科学生学制为五年的最长修学年限为7年，其余学生最长修学年限为5年。学位申请的各个环节均需在最长修学年限内完成。</w:t>
      </w:r>
    </w:p>
    <w:p>
      <w:pPr>
        <w:widowControl w:val="0"/>
        <w:adjustRightInd w:val="0"/>
        <w:snapToGrid w:val="0"/>
        <w:spacing w:line="597" w:lineRule="exact"/>
        <w:ind w:firstLine="640" w:firstLineChars="200"/>
        <w:jc w:val="both"/>
        <w:rPr>
          <w:rFonts w:hint="eastAsia" w:ascii="仿宋_GB2312" w:hAnsi="仿宋" w:eastAsia="仿宋_GB2312" w:cs="Times New Roman"/>
          <w:kern w:val="2"/>
          <w:sz w:val="32"/>
          <w:szCs w:val="32"/>
          <w:lang w:val="en-US" w:eastAsia="zh-CN" w:bidi="ar-SA"/>
        </w:rPr>
      </w:pPr>
      <w:r>
        <w:rPr>
          <w:rFonts w:hint="eastAsia" w:ascii="仿宋_GB2312" w:hAnsi="Times New Roman" w:eastAsia="仿宋_GB2312" w:cs="Times New Roman"/>
          <w:kern w:val="2"/>
          <w:sz w:val="32"/>
          <w:szCs w:val="24"/>
          <w:lang w:val="en-US" w:eastAsia="zh-CN" w:bidi="ar-SA"/>
        </w:rPr>
        <w:t xml:space="preserve">第六条  </w:t>
      </w:r>
      <w:r>
        <w:rPr>
          <w:rFonts w:ascii="仿宋_GB2312" w:hAnsi="Times New Roman" w:eastAsia="仿宋_GB2312" w:cs="Times New Roman"/>
          <w:kern w:val="2"/>
          <w:sz w:val="32"/>
          <w:szCs w:val="24"/>
          <w:lang w:val="en-US" w:eastAsia="zh-CN" w:bidi="ar-SA"/>
        </w:rPr>
        <w:t>本办法适用于新乡医学院三全学院高等学历继续教育本科毕业生学士学位的申请、审核、授予、撤销及相关争议处理。</w:t>
      </w:r>
    </w:p>
    <w:p>
      <w:pPr>
        <w:widowControl w:val="0"/>
        <w:adjustRightInd w:val="0"/>
        <w:snapToGrid w:val="0"/>
        <w:spacing w:line="597" w:lineRule="exact"/>
        <w:ind w:firstLine="0"/>
        <w:jc w:val="center"/>
        <w:rPr>
          <w:rFonts w:hint="eastAsia" w:ascii="黑体" w:hAnsi="Times New Roman" w:eastAsia="黑体"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第二章  授予对象</w:t>
      </w:r>
    </w:p>
    <w:p>
      <w:pPr>
        <w:widowControl w:val="0"/>
        <w:adjustRightInd w:val="0"/>
        <w:snapToGrid w:val="0"/>
        <w:spacing w:before="0" w:beforeAutospacing="0" w:after="0" w:afterAutospacing="0" w:line="597" w:lineRule="exact"/>
        <w:ind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第七条  新乡医学院三全学院高等学历继续教育本科应届毕业生，在河南省学位委员会办公室规定的有效申请期限内，</w:t>
      </w:r>
      <w:r>
        <w:rPr>
          <w:rFonts w:ascii="仿宋_GB2312" w:hAnsi="仿宋" w:eastAsia="仿宋_GB2312" w:cs="Times New Roman"/>
          <w:kern w:val="2"/>
          <w:sz w:val="32"/>
          <w:szCs w:val="32"/>
          <w:lang w:val="en-US" w:eastAsia="zh-CN" w:bidi="ar-SA"/>
        </w:rPr>
        <w:t>达到相应学业要求、学术水平或者专业水平的，可以依照本</w:t>
      </w:r>
      <w:r>
        <w:rPr>
          <w:rFonts w:hint="eastAsia" w:ascii="仿宋_GB2312" w:hAnsi="仿宋" w:eastAsia="仿宋_GB2312" w:cs="Times New Roman"/>
          <w:kern w:val="2"/>
          <w:sz w:val="32"/>
          <w:szCs w:val="32"/>
          <w:lang w:val="en-US" w:eastAsia="zh-CN" w:bidi="ar-SA"/>
        </w:rPr>
        <w:t>办</w:t>
      </w:r>
      <w:r>
        <w:rPr>
          <w:rFonts w:ascii="仿宋_GB2312" w:hAnsi="仿宋" w:eastAsia="仿宋_GB2312" w:cs="Times New Roman"/>
          <w:kern w:val="2"/>
          <w:sz w:val="32"/>
          <w:szCs w:val="32"/>
          <w:lang w:val="en-US" w:eastAsia="zh-CN" w:bidi="ar-SA"/>
        </w:rPr>
        <w:t>法规定申请相应学位。</w:t>
      </w:r>
    </w:p>
    <w:p>
      <w:pPr>
        <w:widowControl w:val="0"/>
        <w:adjustRightInd w:val="0"/>
        <w:snapToGrid w:val="0"/>
        <w:spacing w:line="597" w:lineRule="exact"/>
        <w:ind w:firstLine="0"/>
        <w:jc w:val="center"/>
        <w:rPr>
          <w:rFonts w:ascii="黑体" w:hAnsi="Times New Roman" w:eastAsia="黑体"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第三章  授予条件</w:t>
      </w:r>
    </w:p>
    <w:p>
      <w:pPr>
        <w:adjustRightInd w:val="0"/>
        <w:snapToGrid w:val="0"/>
        <w:spacing w:line="597" w:lineRule="exact"/>
        <w:ind w:firstLine="640" w:firstLineChars="200"/>
        <w:rPr>
          <w:rFonts w:hint="eastAsia" w:ascii="仿宋_GB2312" w:hAnsi="仿宋" w:cs="Times New Roman"/>
          <w:szCs w:val="32"/>
        </w:rPr>
      </w:pPr>
      <w:r>
        <w:rPr>
          <w:rFonts w:hint="eastAsia" w:ascii="Times New Roman" w:hAnsi="仿宋" w:cs="Times New Roman"/>
          <w:szCs w:val="32"/>
        </w:rPr>
        <w:t>第</w:t>
      </w:r>
      <w:r>
        <w:rPr>
          <w:rFonts w:hint="eastAsia" w:ascii="Times New Roman" w:hAnsi="仿宋" w:cs="Times New Roman"/>
          <w:szCs w:val="32"/>
          <w:lang w:val="en-US" w:eastAsia="zh-CN"/>
        </w:rPr>
        <w:t>八</w:t>
      </w:r>
      <w:r>
        <w:rPr>
          <w:rFonts w:hint="eastAsia" w:ascii="Times New Roman" w:hAnsi="仿宋" w:cs="Times New Roman"/>
          <w:szCs w:val="32"/>
        </w:rPr>
        <w:t xml:space="preserve">条  </w:t>
      </w:r>
      <w:r>
        <w:rPr>
          <w:rFonts w:hint="eastAsia" w:ascii="仿宋_GB2312" w:hAnsi="仿宋" w:cs="Times New Roman"/>
          <w:szCs w:val="32"/>
        </w:rPr>
        <w:t>拥护中国共产党的领导，拥护社会主义制度，</w:t>
      </w:r>
      <w:r>
        <w:rPr>
          <w:rFonts w:ascii="仿宋_GB2312" w:hAnsi="仿宋" w:cs="Times New Roman"/>
          <w:szCs w:val="32"/>
        </w:rPr>
        <w:t>遵守宪法和法律，遵守学术道德和学术规范。</w:t>
      </w:r>
    </w:p>
    <w:p>
      <w:pPr>
        <w:shd w:val="clear" w:color="auto" w:fill="FFFFFF"/>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w:t>
      </w:r>
      <w:r>
        <w:rPr>
          <w:rFonts w:hint="eastAsia" w:ascii="仿宋_GB2312" w:hAnsi="仿宋" w:cs="Times New Roman"/>
          <w:szCs w:val="32"/>
          <w:lang w:val="en-US" w:eastAsia="zh-CN"/>
        </w:rPr>
        <w:t>九</w:t>
      </w:r>
      <w:r>
        <w:rPr>
          <w:rFonts w:hint="eastAsia" w:ascii="仿宋_GB2312" w:hAnsi="仿宋" w:cs="Times New Roman"/>
          <w:szCs w:val="32"/>
        </w:rPr>
        <w:t>条  完成学校高等学历继续教育人才培养方案规定的各项要求，</w:t>
      </w:r>
      <w:r>
        <w:rPr>
          <w:rFonts w:ascii="仿宋_GB2312" w:hAnsi="仿宋" w:cs="Times New Roman"/>
          <w:szCs w:val="32"/>
        </w:rPr>
        <w:t>在本学科或者专业领域较好地掌握基础理论、专门知识和基本技能</w:t>
      </w:r>
      <w:r>
        <w:rPr>
          <w:rFonts w:hint="eastAsia" w:ascii="仿宋_GB2312" w:hAnsi="仿宋" w:cs="Times New Roman"/>
          <w:szCs w:val="32"/>
        </w:rPr>
        <w:t>，</w:t>
      </w:r>
      <w:r>
        <w:rPr>
          <w:rFonts w:ascii="仿宋_GB2312" w:hAnsi="仿宋" w:cs="Times New Roman"/>
          <w:szCs w:val="32"/>
        </w:rPr>
        <w:t>具有从事学术研究或者承担专业实践工作的初步能力</w:t>
      </w:r>
      <w:r>
        <w:rPr>
          <w:rFonts w:hint="eastAsia" w:ascii="仿宋_GB2312" w:hAnsi="仿宋" w:cs="Times New Roman"/>
          <w:szCs w:val="32"/>
        </w:rPr>
        <w:t>，经审核准予毕业。</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w:t>
      </w:r>
      <w:r>
        <w:rPr>
          <w:rFonts w:hint="eastAsia" w:ascii="仿宋_GB2312" w:hAnsi="仿宋" w:cs="Times New Roman"/>
          <w:szCs w:val="32"/>
          <w:lang w:val="en-US" w:eastAsia="zh-CN"/>
        </w:rPr>
        <w:t>十</w:t>
      </w:r>
      <w:r>
        <w:rPr>
          <w:rFonts w:hint="eastAsia" w:ascii="仿宋_GB2312" w:hAnsi="仿宋" w:cs="Times New Roman"/>
          <w:szCs w:val="32"/>
        </w:rPr>
        <w:t>条  在规定的修业年限内修完教学计划规定的全部课程，修满相应学分；思想品德鉴定合格，</w:t>
      </w:r>
      <w:r>
        <w:rPr>
          <w:rFonts w:ascii="仿宋_GB2312" w:hAnsi="仿宋" w:cs="Times New Roman"/>
          <w:szCs w:val="32"/>
        </w:rPr>
        <w:t>通过规定的课程考核</w:t>
      </w:r>
      <w:r>
        <w:rPr>
          <w:rFonts w:hint="eastAsia" w:ascii="仿宋_GB2312" w:hAnsi="仿宋" w:cs="Times New Roman"/>
          <w:szCs w:val="32"/>
        </w:rPr>
        <w:t>，平均成绩达到65分（含）以上，学位课程平均成绩达到70分（含）以上。</w:t>
      </w:r>
    </w:p>
    <w:p>
      <w:pPr>
        <w:adjustRightInd w:val="0"/>
        <w:snapToGrid w:val="0"/>
        <w:spacing w:line="597" w:lineRule="exact"/>
        <w:ind w:firstLine="640" w:firstLineChars="200"/>
        <w:rPr>
          <w:rFonts w:hint="eastAsia" w:ascii="方正书宋简体" w:hAnsi="宋体" w:eastAsia="方正书宋简体" w:cs="Times New Roman"/>
          <w:color w:val="000000"/>
          <w:sz w:val="24"/>
        </w:rPr>
      </w:pPr>
      <w:r>
        <w:rPr>
          <w:rFonts w:hint="eastAsia" w:ascii="仿宋_GB2312" w:hAnsi="仿宋" w:cs="Times New Roman"/>
          <w:szCs w:val="32"/>
        </w:rPr>
        <w:t>第十</w:t>
      </w:r>
      <w:r>
        <w:rPr>
          <w:rFonts w:hint="eastAsia" w:ascii="仿宋_GB2312" w:hAnsi="仿宋" w:cs="Times New Roman"/>
          <w:szCs w:val="32"/>
          <w:lang w:val="en-US" w:eastAsia="zh-CN"/>
        </w:rPr>
        <w:t>一</w:t>
      </w:r>
      <w:r>
        <w:rPr>
          <w:rFonts w:hint="eastAsia" w:ascii="仿宋_GB2312" w:hAnsi="仿宋" w:cs="Times New Roman"/>
          <w:szCs w:val="32"/>
        </w:rPr>
        <w:t>条  高等学历继续教育本科毕业生毕业论文（设计）答辩成绩或毕业考试成绩合格。</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二</w:t>
      </w:r>
      <w:r>
        <w:rPr>
          <w:rFonts w:hint="eastAsia" w:ascii="仿宋_GB2312" w:hAnsi="仿宋" w:cs="Times New Roman"/>
          <w:szCs w:val="32"/>
        </w:rPr>
        <w:t>条  参加由学校组织的新乡医学院三全学院高等学历继续教育本科毕业生申请学士学位外语水平考试，成绩合格；或参加学校指定的全国性外语水平考试，成绩达到学校学位评定委员会授予学士学位认定标准。</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三</w:t>
      </w:r>
      <w:r>
        <w:rPr>
          <w:rFonts w:hint="eastAsia" w:ascii="仿宋_GB2312" w:hAnsi="仿宋" w:cs="Times New Roman"/>
          <w:szCs w:val="32"/>
        </w:rPr>
        <w:t>条  有下列情况之一者，</w:t>
      </w:r>
      <w:r>
        <w:rPr>
          <w:rFonts w:ascii="仿宋_GB2312" w:hAnsi="仿宋" w:cs="Times New Roman"/>
          <w:szCs w:val="32"/>
        </w:rPr>
        <w:t>不授予</w:t>
      </w:r>
      <w:r>
        <w:rPr>
          <w:rFonts w:hint="eastAsia" w:ascii="仿宋_GB2312" w:hAnsi="仿宋" w:cs="Times New Roman"/>
          <w:szCs w:val="32"/>
        </w:rPr>
        <w:t>或者</w:t>
      </w:r>
      <w:r>
        <w:rPr>
          <w:rFonts w:ascii="仿宋_GB2312" w:hAnsi="仿宋" w:cs="Times New Roman"/>
          <w:szCs w:val="32"/>
        </w:rPr>
        <w:t>撤销</w:t>
      </w:r>
      <w:r>
        <w:rPr>
          <w:rFonts w:hint="eastAsia" w:ascii="仿宋_GB2312" w:hAnsi="仿宋" w:cs="Times New Roman"/>
          <w:szCs w:val="32"/>
        </w:rPr>
        <w:t>学士</w:t>
      </w:r>
      <w:r>
        <w:rPr>
          <w:rFonts w:ascii="仿宋_GB2312" w:hAnsi="仿宋" w:cs="Times New Roman"/>
          <w:szCs w:val="32"/>
        </w:rPr>
        <w:t>学位</w:t>
      </w:r>
      <w:r>
        <w:rPr>
          <w:rFonts w:hint="eastAsia" w:ascii="仿宋_GB2312" w:hAnsi="仿宋" w:cs="Times New Roman"/>
          <w:szCs w:val="32"/>
        </w:rPr>
        <w:t>：</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（一）</w:t>
      </w:r>
      <w:r>
        <w:rPr>
          <w:rFonts w:ascii="仿宋_GB2312" w:hAnsi="仿宋" w:cs="Times New Roman"/>
          <w:szCs w:val="32"/>
        </w:rPr>
        <w:t>学位论文或者实践成果被认定为存在代写、剽窃、伪造等学术不端行为</w:t>
      </w:r>
      <w:r>
        <w:rPr>
          <w:rFonts w:hint="eastAsia" w:ascii="仿宋_GB2312" w:hAnsi="仿宋" w:cs="Times New Roman"/>
          <w:szCs w:val="32"/>
        </w:rPr>
        <w:t>；</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（二）</w:t>
      </w:r>
      <w:r>
        <w:rPr>
          <w:rFonts w:ascii="仿宋_GB2312" w:hAnsi="仿宋" w:cs="Times New Roman"/>
          <w:szCs w:val="32"/>
        </w:rPr>
        <w:t>盗用、冒用他人身份，顶替他人取得的入学资格，或者以其他非法手段取得入学资格、毕业证书</w:t>
      </w:r>
      <w:r>
        <w:rPr>
          <w:rFonts w:hint="eastAsia" w:ascii="仿宋_GB2312" w:hAnsi="仿宋" w:cs="Times New Roman"/>
          <w:szCs w:val="32"/>
        </w:rPr>
        <w:t>；</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（三）</w:t>
      </w:r>
      <w:r>
        <w:rPr>
          <w:rFonts w:ascii="仿宋_GB2312" w:hAnsi="仿宋" w:cs="Times New Roman"/>
          <w:szCs w:val="32"/>
        </w:rPr>
        <w:t>攻读期间存在依法不应当授予学位的其他严重违法行为</w:t>
      </w:r>
      <w:r>
        <w:rPr>
          <w:rFonts w:hint="eastAsia" w:ascii="仿宋_GB2312" w:hAnsi="仿宋" w:cs="Times New Roman"/>
          <w:szCs w:val="32"/>
        </w:rPr>
        <w:t>；</w:t>
      </w:r>
    </w:p>
    <w:p>
      <w:pPr>
        <w:adjustRightInd w:val="0"/>
        <w:snapToGrid w:val="0"/>
        <w:spacing w:line="597" w:lineRule="exact"/>
        <w:ind w:firstLine="640" w:firstLineChars="200"/>
        <w:rPr>
          <w:rFonts w:ascii="Times New Roman" w:hAnsi="Times New Roman" w:cs="Times New Roman"/>
          <w:szCs w:val="32"/>
        </w:rPr>
      </w:pPr>
      <w:r>
        <w:rPr>
          <w:rFonts w:ascii="Times New Roman" w:hAnsi="Times New Roman" w:cs="Times New Roman"/>
          <w:szCs w:val="32"/>
        </w:rPr>
        <w:t>（</w:t>
      </w:r>
      <w:r>
        <w:rPr>
          <w:rFonts w:hint="eastAsia" w:ascii="Times New Roman" w:hAnsi="Times New Roman" w:cs="Times New Roman"/>
          <w:szCs w:val="32"/>
        </w:rPr>
        <w:t>四</w:t>
      </w:r>
      <w:r>
        <w:rPr>
          <w:rFonts w:ascii="Times New Roman" w:hAnsi="Times New Roman" w:cs="Times New Roman"/>
          <w:szCs w:val="32"/>
        </w:rPr>
        <w:t>）未达到毕业要求</w:t>
      </w:r>
      <w:r>
        <w:rPr>
          <w:rFonts w:hint="eastAsia" w:ascii="Times New Roman" w:hAnsi="Times New Roman" w:cs="Times New Roman"/>
          <w:szCs w:val="32"/>
        </w:rPr>
        <w:t>或未取得毕业证书者；</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（五）因其他原因，学校学位评定委员会认为不应授予学士学位者。</w:t>
      </w:r>
    </w:p>
    <w:p>
      <w:pPr>
        <w:widowControl w:val="0"/>
        <w:adjustRightInd w:val="0"/>
        <w:snapToGrid w:val="0"/>
        <w:spacing w:line="597" w:lineRule="exact"/>
        <w:ind w:firstLine="0"/>
        <w:jc w:val="center"/>
        <w:rPr>
          <w:rFonts w:hint="eastAsia" w:ascii="黑体" w:hAnsi="Times New Roman" w:eastAsia="黑体"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第四章  授予程序</w:t>
      </w:r>
    </w:p>
    <w:p>
      <w:pPr>
        <w:adjustRightInd w:val="0"/>
        <w:snapToGrid w:val="0"/>
        <w:spacing w:line="597" w:lineRule="exact"/>
        <w:ind w:firstLine="640" w:firstLineChars="200"/>
        <w:rPr>
          <w:rFonts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四</w:t>
      </w:r>
      <w:r>
        <w:rPr>
          <w:rFonts w:hint="eastAsia" w:ascii="仿宋_GB2312" w:hAnsi="仿宋" w:cs="Times New Roman"/>
          <w:szCs w:val="32"/>
        </w:rPr>
        <w:t>条  符合学位授予条件的高等学历继续教育毕业生，在规定的申请期限内到继续教育学院办理申请手续。毕业生须持毕业证、身份证原件及复印件各1份、成绩单1份、蓝底二寸正面免冠照片2张、学士学位外国语水平考试成绩合格证明或学校认可的全国性外语水平考试成绩证明。并按要求如实填写《新乡医学院三全学院授予高等学历继续教育本科毕业生学士学位申请表》，申请相应学位。</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五</w:t>
      </w:r>
      <w:r>
        <w:rPr>
          <w:rFonts w:hint="eastAsia" w:ascii="仿宋_GB2312" w:hAnsi="仿宋" w:cs="Times New Roman"/>
          <w:szCs w:val="32"/>
        </w:rPr>
        <w:t xml:space="preserve">条 </w:t>
      </w:r>
      <w:r>
        <w:rPr>
          <w:rFonts w:ascii="仿宋_GB2312" w:hAnsi="仿宋" w:cs="Times New Roman"/>
          <w:szCs w:val="32"/>
        </w:rPr>
        <w:t xml:space="preserve"> </w:t>
      </w:r>
      <w:r>
        <w:rPr>
          <w:rFonts w:hint="eastAsia" w:ascii="仿宋_GB2312" w:hAnsi="仿宋" w:cs="Times New Roman"/>
          <w:szCs w:val="32"/>
        </w:rPr>
        <w:t>学位论文答辩未通过的，经答辩委员会同意，可以在规定期限内修改，重新申请答辩。学位申请人仅有一次重新答辩的机会，如果再次答辩仍未通过，则取消学位申请人学士学位申请资格。</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六</w:t>
      </w:r>
      <w:r>
        <w:rPr>
          <w:rFonts w:hint="eastAsia" w:ascii="仿宋_GB2312" w:hAnsi="仿宋" w:cs="Times New Roman"/>
          <w:szCs w:val="32"/>
        </w:rPr>
        <w:t>条  继续教育学院对申请材料进行审查，自申请日期截止之日起六十日内决定是否受理申请，并通知申请人。</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七</w:t>
      </w:r>
      <w:r>
        <w:rPr>
          <w:rFonts w:hint="eastAsia" w:ascii="仿宋_GB2312" w:hAnsi="仿宋" w:cs="Times New Roman"/>
          <w:szCs w:val="32"/>
        </w:rPr>
        <w:t>条  学校学位评定委员会组织相关院系成立审查专家组(一般为三人，由讲师及以上职称教师组成)，对相关专业学位申请者的申请资格、外语水平考试成绩、学业成绩、毕业要求学分等方面进行审查，签署学位授予意见。</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第十</w:t>
      </w:r>
      <w:r>
        <w:rPr>
          <w:rFonts w:hint="eastAsia" w:ascii="仿宋_GB2312" w:hAnsi="仿宋" w:cs="Times New Roman"/>
          <w:szCs w:val="32"/>
          <w:lang w:val="en-US" w:eastAsia="zh-CN"/>
        </w:rPr>
        <w:t>八</w:t>
      </w:r>
      <w:r>
        <w:rPr>
          <w:rFonts w:hint="eastAsia" w:ascii="仿宋_GB2312" w:hAnsi="仿宋" w:cs="Times New Roman"/>
          <w:szCs w:val="32"/>
        </w:rPr>
        <w:t>条  学校学位</w:t>
      </w:r>
      <w:r>
        <w:rPr>
          <w:rFonts w:hint="eastAsia" w:ascii="仿宋_GB2312" w:hAnsi="仿宋" w:cs="Times New Roman"/>
          <w:szCs w:val="32"/>
          <w:lang w:eastAsia="zh-CN"/>
        </w:rPr>
        <w:t>评定</w:t>
      </w:r>
      <w:r>
        <w:rPr>
          <w:rFonts w:hint="eastAsia" w:ascii="仿宋_GB2312" w:hAnsi="仿宋" w:cs="Times New Roman"/>
          <w:szCs w:val="32"/>
        </w:rPr>
        <w:t>委员会对申请者的学位申请，进行审议、表决，作出是否授予学士学位决议。学校</w:t>
      </w:r>
      <w:r>
        <w:rPr>
          <w:rFonts w:ascii="仿宋_GB2312" w:hAnsi="仿宋" w:cs="Times New Roman"/>
          <w:szCs w:val="32"/>
        </w:rPr>
        <w:t>根据学位评定委员会授予学士学位的决议，公布授予学位的人员名单，颁发学位证书，并向</w:t>
      </w:r>
      <w:r>
        <w:rPr>
          <w:rFonts w:hint="eastAsia" w:ascii="仿宋_GB2312" w:hAnsi="仿宋" w:cs="Times New Roman"/>
          <w:szCs w:val="32"/>
        </w:rPr>
        <w:t>河南省</w:t>
      </w:r>
      <w:r>
        <w:rPr>
          <w:rFonts w:ascii="仿宋_GB2312" w:hAnsi="仿宋" w:cs="Times New Roman"/>
          <w:szCs w:val="32"/>
        </w:rPr>
        <w:t>学位委员会报送学位授予信息。</w:t>
      </w:r>
      <w:r>
        <w:rPr>
          <w:rFonts w:hint="eastAsia" w:ascii="仿宋_GB2312" w:hAnsi="仿宋" w:cs="Times New Roman"/>
          <w:szCs w:val="32"/>
        </w:rPr>
        <w:t>未通过者不再补授学士学位。</w:t>
      </w:r>
    </w:p>
    <w:p>
      <w:pPr>
        <w:widowControl w:val="0"/>
        <w:adjustRightInd w:val="0"/>
        <w:snapToGrid w:val="0"/>
        <w:spacing w:before="0" w:beforeAutospacing="0" w:after="0" w:afterAutospacing="0" w:line="597" w:lineRule="exact"/>
        <w:ind w:right="-160" w:rightChars="-50"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0"/>
          <w:sz w:val="32"/>
          <w:szCs w:val="32"/>
          <w:lang w:val="en-US" w:eastAsia="zh-CN" w:bidi="ar-SA"/>
        </w:rPr>
        <w:t>第十九</w:t>
      </w:r>
      <w:r>
        <w:rPr>
          <w:rFonts w:hint="eastAsia" w:ascii="仿宋_GB2312" w:hAnsi="仿宋" w:eastAsia="仿宋_GB2312" w:cs="Times New Roman"/>
          <w:kern w:val="2"/>
          <w:sz w:val="32"/>
          <w:szCs w:val="32"/>
          <w:lang w:val="en-US" w:eastAsia="zh-CN" w:bidi="ar-SA"/>
        </w:rPr>
        <w:t>条  学校依照国家有关保密规定保存学位申请人的申请材料和学位论文、实践成果等档案资料。</w:t>
      </w:r>
    </w:p>
    <w:p>
      <w:pPr>
        <w:widowControl w:val="0"/>
        <w:adjustRightInd w:val="0"/>
        <w:snapToGrid w:val="0"/>
        <w:spacing w:before="0" w:beforeAutospacing="0" w:after="0" w:afterAutospacing="0" w:line="597" w:lineRule="exact"/>
        <w:ind w:right="-160" w:rightChars="-50"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第二十条  学校拟作出不受理学位申请、不授予学位或者撤销学位决定的，应当告知学位申请人拟作出决定的内容及事实、理由、依据。学位申请人可以向学校申请复核。学校自受理复核申请之日起三十日内进行复核并作出复核决定，复核决定为最终决定。</w:t>
      </w:r>
    </w:p>
    <w:p>
      <w:pPr>
        <w:widowControl w:val="0"/>
        <w:adjustRightInd w:val="0"/>
        <w:snapToGrid w:val="0"/>
        <w:spacing w:line="597" w:lineRule="exact"/>
        <w:ind w:firstLine="0"/>
        <w:jc w:val="center"/>
        <w:rPr>
          <w:rFonts w:hint="eastAsia" w:ascii="黑体" w:hAnsi="Times New Roman" w:eastAsia="黑体"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第五章  附  则</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第二十</w:t>
      </w:r>
      <w:r>
        <w:rPr>
          <w:rFonts w:hint="eastAsia" w:ascii="仿宋_GB2312" w:hAnsi="仿宋" w:cs="Times New Roman"/>
          <w:szCs w:val="32"/>
          <w:lang w:val="en-US" w:eastAsia="zh-CN"/>
        </w:rPr>
        <w:t>一</w:t>
      </w:r>
      <w:r>
        <w:rPr>
          <w:rFonts w:hint="eastAsia" w:ascii="仿宋_GB2312" w:hAnsi="仿宋" w:cs="Times New Roman"/>
          <w:szCs w:val="32"/>
        </w:rPr>
        <w:t>条  学士学位证书遗失或损坏不予补发。经本人申请，学校核实后可出具相应的学位证明书，学位证明书应注明原学位证书编号等内容。学位证明书与学位证书具有同等效力。</w:t>
      </w:r>
    </w:p>
    <w:p>
      <w:pPr>
        <w:adjustRightInd w:val="0"/>
        <w:snapToGrid w:val="0"/>
        <w:spacing w:line="597" w:lineRule="exact"/>
        <w:ind w:firstLine="640" w:firstLineChars="200"/>
        <w:rPr>
          <w:rFonts w:hint="eastAsia" w:ascii="仿宋_GB2312" w:hAnsi="仿宋" w:cs="Times New Roman"/>
          <w:szCs w:val="32"/>
        </w:rPr>
      </w:pPr>
      <w:r>
        <w:rPr>
          <w:rFonts w:hint="eastAsia" w:ascii="仿宋_GB2312" w:hAnsi="仿宋" w:cs="Times New Roman"/>
          <w:szCs w:val="32"/>
        </w:rPr>
        <w:t>第二十</w:t>
      </w:r>
      <w:r>
        <w:rPr>
          <w:rFonts w:hint="eastAsia" w:ascii="仿宋_GB2312" w:hAnsi="仿宋" w:cs="Times New Roman"/>
          <w:szCs w:val="32"/>
          <w:lang w:val="en-US" w:eastAsia="zh-CN"/>
        </w:rPr>
        <w:t>二</w:t>
      </w:r>
      <w:r>
        <w:rPr>
          <w:rFonts w:hint="eastAsia" w:ascii="仿宋_GB2312" w:hAnsi="仿宋" w:cs="Times New Roman"/>
          <w:szCs w:val="32"/>
        </w:rPr>
        <w:t>条  本办法由学校学位评定委员会授权继续教育学院负责解释。</w:t>
      </w:r>
    </w:p>
    <w:p>
      <w:pPr>
        <w:snapToGrid w:val="0"/>
        <w:spacing w:line="597" w:lineRule="exact"/>
        <w:ind w:firstLine="640" w:firstLineChars="200"/>
        <w:rPr>
          <w:rFonts w:hint="eastAsia" w:ascii="Times New Roman" w:hAnsi="Times New Roman" w:eastAsia="仿宋_GB2312" w:cs="Times New Roman"/>
          <w:lang w:eastAsia="zh-CN"/>
        </w:rPr>
      </w:pPr>
      <w:r>
        <w:rPr>
          <w:rFonts w:hint="eastAsia" w:ascii="仿宋_GB2312" w:hAnsi="仿宋" w:cs="Times New Roman"/>
          <w:szCs w:val="32"/>
        </w:rPr>
        <w:t>第二十</w:t>
      </w:r>
      <w:r>
        <w:rPr>
          <w:rFonts w:hint="eastAsia" w:ascii="仿宋_GB2312" w:hAnsi="仿宋" w:cs="Times New Roman"/>
          <w:szCs w:val="32"/>
          <w:lang w:val="en-US" w:eastAsia="zh-CN"/>
        </w:rPr>
        <w:t>三</w:t>
      </w:r>
      <w:r>
        <w:rPr>
          <w:rFonts w:hint="eastAsia" w:ascii="仿宋_GB2312" w:hAnsi="仿宋" w:cs="Times New Roman"/>
          <w:szCs w:val="32"/>
        </w:rPr>
        <w:t>条  本办法自印发之日起施行。原《新乡医学院三全学院高等学历继续教育本科毕业生学士学位授予实施办法》（院发〔2021〕116号）同时废止</w:t>
      </w:r>
      <w:r>
        <w:rPr>
          <w:rFonts w:hint="eastAsia" w:ascii="仿宋_GB2312" w:hAnsi="仿宋" w:cs="Times New Roman"/>
          <w:szCs w:val="32"/>
          <w:lang w:eastAsia="zh-CN"/>
        </w:rPr>
        <w:t>。</w:t>
      </w:r>
    </w:p>
    <w:p>
      <w:pPr>
        <w:snapToGrid w:val="0"/>
        <w:spacing w:line="360" w:lineRule="auto"/>
        <w:rPr>
          <w:rFonts w:hint="eastAsia" w:ascii="仿宋_GB2312"/>
        </w:rPr>
      </w:pPr>
    </w:p>
    <w:p>
      <w:pPr>
        <w:snapToGrid w:val="0"/>
        <w:spacing w:line="360" w:lineRule="auto"/>
        <w:rPr>
          <w:rFonts w:hint="eastAsia" w:ascii="仿宋_GB2312"/>
        </w:rPr>
      </w:pPr>
    </w:p>
    <w:tbl>
      <w:tblPr>
        <w:tblStyle w:val="30"/>
        <w:tblpPr w:leftFromText="181" w:rightFromText="181" w:vertAnchor="page" w:tblpXSpec="center" w:tblpY="14460"/>
        <w:tblW w:w="0" w:type="auto"/>
        <w:tblCaption w:val="表格1zam"/>
        <w:tblInd w:w="0" w:type="dxa"/>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052"/>
      </w:tblGrid>
      <w:tr>
        <w:tblPrEx>
          <w:tblBorders>
            <w:top w:val="single" w:color="000000" w:sz="8" w:space="0"/>
            <w:left w:val="none" w:color="000000" w:sz="0" w:space="0"/>
            <w:bottom w:val="single" w:color="000000" w:sz="8"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641" w:hRule="atLeast"/>
        </w:trPr>
        <w:tc>
          <w:tcPr>
            <w:tcW w:w="9052" w:type="dxa"/>
            <w:noWrap w:val="0"/>
            <w:vAlign w:val="center"/>
          </w:tcPr>
          <w:p>
            <w:pPr>
              <w:snapToGrid w:val="0"/>
              <w:spacing w:line="579" w:lineRule="exact"/>
              <w:ind w:firstLine="280" w:firstLineChars="100"/>
              <w:rPr>
                <w:rFonts w:ascii="仿宋_GB2312" w:hAnsi="宋体"/>
              </w:rPr>
            </w:pPr>
            <w:r>
              <w:rPr>
                <w:rFonts w:hint="eastAsia" w:ascii="仿宋_GB2312" w:hAnsi="宋体"/>
                <w:sz w:val="28"/>
                <w:szCs w:val="28"/>
              </w:rPr>
              <w:t xml:space="preserve">新乡医学院三全学院院长办公室           </w:t>
            </w:r>
            <w:r>
              <w:rPr>
                <w:rFonts w:ascii="仿宋_GB2312" w:hAnsi="宋体"/>
                <w:sz w:val="28"/>
                <w:szCs w:val="28"/>
              </w:rPr>
              <w:t>20</w:t>
            </w:r>
            <w:r>
              <w:rPr>
                <w:rFonts w:hint="eastAsia" w:ascii="仿宋_GB2312" w:hAnsi="宋体"/>
                <w:sz w:val="28"/>
                <w:szCs w:val="28"/>
              </w:rPr>
              <w:t>25</w:t>
            </w:r>
            <w:r>
              <w:rPr>
                <w:rFonts w:ascii="仿宋_GB2312" w:hAnsi="宋体"/>
                <w:sz w:val="28"/>
                <w:szCs w:val="28"/>
              </w:rPr>
              <w:t>年6月</w:t>
            </w:r>
            <w:r>
              <w:rPr>
                <w:rFonts w:hint="eastAsia" w:ascii="仿宋_GB2312" w:hAnsi="宋体"/>
                <w:sz w:val="28"/>
                <w:szCs w:val="28"/>
              </w:rPr>
              <w:t>20</w:t>
            </w:r>
            <w:r>
              <w:rPr>
                <w:rFonts w:ascii="仿宋_GB2312" w:hAnsi="宋体"/>
                <w:sz w:val="28"/>
                <w:szCs w:val="28"/>
              </w:rPr>
              <w:t>日</w:t>
            </w:r>
            <w:r>
              <w:rPr>
                <w:rFonts w:hint="eastAsia" w:ascii="仿宋_GB2312" w:hAnsi="宋体"/>
                <w:sz w:val="28"/>
                <w:szCs w:val="28"/>
              </w:rPr>
              <w:t>印发</w:t>
            </w:r>
          </w:p>
        </w:tc>
      </w:tr>
    </w:tbl>
    <w:p>
      <w:pPr>
        <w:spacing w:line="20" w:lineRule="exact"/>
        <w:rPr>
          <w:rFonts w:hint="eastAsia"/>
        </w:rPr>
      </w:pPr>
    </w:p>
    <w:sectPr>
      <w:headerReference r:id="rId3" w:type="default"/>
      <w:footerReference r:id="rId4" w:type="default"/>
      <w:footerReference r:id="rId5" w:type="even"/>
      <w:pgSz w:w="11906" w:h="16838"/>
      <w:pgMar w:top="2098" w:right="1327" w:bottom="1588" w:left="1644" w:header="851" w:footer="992" w:gutter="0"/>
      <w:cols w:space="425" w:num="1"/>
      <w:docGrid w:type="linesAndChars" w:linePitch="597" w:charSpace="-1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书宋简体">
    <w:altName w:val="楷体_GB2312"/>
    <w:panose1 w:val="020B0603030804020204"/>
    <w:charset w:val="00"/>
    <w:family w:val="auto"/>
    <w:pitch w:val="default"/>
    <w:sig w:usb0="00000000" w:usb1="00000000" w:usb2="00000000" w:usb3="00000000" w:csb0="00000000" w:csb1="00000000"/>
  </w:font>
  <w:font w:name="楷体_GB2312">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280"/>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evenAndOddHeaders w:val="1"/>
  <w:drawingGridHorizontalSpacing w:val="-1"/>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FB719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24"/>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Plain Text"/>
    <w:basedOn w:val="1"/>
    <w:link w:val="185"/>
    <w:uiPriority w:val="0"/>
    <w:rPr>
      <w:rFonts w:ascii="宋体" w:hAnsi="Courier New" w:eastAsia="宋体" w:cs="宋体"/>
      <w:sz w:val="21"/>
      <w:szCs w:val="21"/>
    </w:rPr>
  </w:style>
  <w:style w:type="paragraph" w:styleId="16">
    <w:name w:val="toc 8"/>
    <w:basedOn w:val="1"/>
    <w:next w:val="1"/>
    <w:unhideWhenUsed/>
    <w:uiPriority w:val="39"/>
    <w:pPr>
      <w:spacing w:after="57"/>
      <w:ind w:left="1984" w:right="0" w:firstLine="0"/>
    </w:pPr>
  </w:style>
  <w:style w:type="paragraph" w:styleId="17">
    <w:name w:val="endnote text"/>
    <w:basedOn w:val="1"/>
    <w:link w:val="183"/>
    <w:semiHidden/>
    <w:unhideWhenUsed/>
    <w:uiPriority w:val="99"/>
    <w:pPr>
      <w:spacing w:after="0" w:line="240" w:lineRule="auto"/>
    </w:pPr>
    <w:rPr>
      <w:sz w:val="20"/>
    </w:rPr>
  </w:style>
  <w:style w:type="paragraph" w:styleId="18">
    <w:name w:val="Balloon Text"/>
    <w:basedOn w:val="1"/>
    <w:semiHidden/>
    <w:uiPriority w:val="0"/>
    <w:rPr>
      <w:sz w:val="18"/>
      <w:szCs w:val="18"/>
    </w:rPr>
  </w:style>
  <w:style w:type="paragraph" w:styleId="19">
    <w:name w:val="footer"/>
    <w:basedOn w:val="1"/>
    <w:link w:val="186"/>
    <w:uiPriority w:val="99"/>
    <w:pPr>
      <w:tabs>
        <w:tab w:val="center" w:pos="4153"/>
        <w:tab w:val="right" w:pos="8306"/>
      </w:tabs>
      <w:snapToGrid w:val="0"/>
      <w:jc w:val="left"/>
    </w:pPr>
    <w:rPr>
      <w:sz w:val="18"/>
      <w:szCs w:val="18"/>
    </w:rPr>
  </w:style>
  <w:style w:type="paragraph" w:styleId="2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uiPriority w:val="99"/>
    <w:rPr>
      <w:vertAlign w:val="superscript"/>
    </w:rPr>
  </w:style>
  <w:style w:type="character" w:styleId="34">
    <w:name w:val="page number"/>
    <w:basedOn w:val="32"/>
    <w:qFormat/>
    <w:uiPriority w:val="0"/>
  </w:style>
  <w:style w:type="character" w:styleId="35">
    <w:name w:val="Hyperlink"/>
    <w:unhideWhenUsed/>
    <w:uiPriority w:val="99"/>
    <w:rPr>
      <w:color w:val="0000FF" w:themeColor="hyperlink"/>
      <w:u w:val="single"/>
      <w14:textFill>
        <w14:solidFill>
          <w14:schemeClr w14:val="hlink"/>
        </w14:solidFill>
      </w14:textFill>
    </w:rPr>
  </w:style>
  <w:style w:type="character" w:styleId="36">
    <w:name w:val="footnote reference"/>
    <w:basedOn w:val="32"/>
    <w:unhideWhenUsed/>
    <w:uiPriority w:val="99"/>
    <w:rPr>
      <w:vertAlign w:val="superscript"/>
    </w:rPr>
  </w:style>
  <w:style w:type="character" w:customStyle="1" w:styleId="37">
    <w:name w:val="Heading 1 Char"/>
    <w:basedOn w:val="32"/>
    <w:link w:val="2"/>
    <w:uiPriority w:val="9"/>
    <w:rPr>
      <w:rFonts w:ascii="Arial" w:hAnsi="Arial" w:eastAsia="Arial" w:cs="Arial"/>
      <w:sz w:val="40"/>
      <w:szCs w:val="40"/>
    </w:rPr>
  </w:style>
  <w:style w:type="character" w:customStyle="1" w:styleId="38">
    <w:name w:val="Heading 2 Char"/>
    <w:basedOn w:val="32"/>
    <w:link w:val="3"/>
    <w:uiPriority w:val="9"/>
    <w:rPr>
      <w:rFonts w:ascii="Arial" w:hAnsi="Arial" w:eastAsia="Arial" w:cs="Arial"/>
      <w:sz w:val="34"/>
    </w:rPr>
  </w:style>
  <w:style w:type="character" w:customStyle="1" w:styleId="39">
    <w:name w:val="Heading 3 Char"/>
    <w:basedOn w:val="32"/>
    <w:link w:val="4"/>
    <w:uiPriority w:val="9"/>
    <w:rPr>
      <w:rFonts w:ascii="Arial" w:hAnsi="Arial" w:eastAsia="Arial" w:cs="Arial"/>
      <w:sz w:val="30"/>
      <w:szCs w:val="30"/>
    </w:rPr>
  </w:style>
  <w:style w:type="character" w:customStyle="1" w:styleId="40">
    <w:name w:val="Heading 4 Char"/>
    <w:basedOn w:val="32"/>
    <w:link w:val="5"/>
    <w:qFormat/>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qFormat/>
    <w:uiPriority w:val="9"/>
    <w:rPr>
      <w:rFonts w:ascii="Arial" w:hAnsi="Arial" w:eastAsia="Arial" w:cs="Arial"/>
      <w:b/>
      <w:bCs/>
      <w:sz w:val="22"/>
      <w:szCs w:val="22"/>
    </w:rPr>
  </w:style>
  <w:style w:type="character" w:customStyle="1" w:styleId="43">
    <w:name w:val="Heading 7 Char"/>
    <w:basedOn w:val="32"/>
    <w:link w:val="8"/>
    <w:uiPriority w:val="9"/>
    <w:rPr>
      <w:rFonts w:ascii="Arial" w:hAnsi="Arial" w:eastAsia="Arial" w:cs="Arial"/>
      <w:b/>
      <w:bCs/>
      <w:i/>
      <w:iCs/>
      <w:sz w:val="22"/>
      <w:szCs w:val="22"/>
    </w:rPr>
  </w:style>
  <w:style w:type="character" w:customStyle="1" w:styleId="44">
    <w:name w:val="Heading 8 Char"/>
    <w:basedOn w:val="32"/>
    <w:link w:val="9"/>
    <w:uiPriority w:val="9"/>
    <w:rPr>
      <w:rFonts w:ascii="Arial" w:hAnsi="Arial" w:eastAsia="Arial" w:cs="Arial"/>
      <w:i/>
      <w:iCs/>
      <w:sz w:val="22"/>
      <w:szCs w:val="22"/>
    </w:rPr>
  </w:style>
  <w:style w:type="character" w:customStyle="1" w:styleId="45">
    <w:name w:val="Heading 9 Char"/>
    <w:basedOn w:val="32"/>
    <w:link w:val="10"/>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2"/>
    <w:link w:val="29"/>
    <w:uiPriority w:val="10"/>
    <w:rPr>
      <w:sz w:val="48"/>
      <w:szCs w:val="48"/>
    </w:rPr>
  </w:style>
  <w:style w:type="character" w:customStyle="1" w:styleId="49">
    <w:name w:val="Subtitle Char"/>
    <w:basedOn w:val="32"/>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uiPriority w:val="30"/>
    <w:rPr>
      <w:i/>
    </w:rPr>
  </w:style>
  <w:style w:type="character" w:customStyle="1" w:styleId="54">
    <w:name w:val="Header Char"/>
    <w:basedOn w:val="32"/>
    <w:uiPriority w:val="99"/>
  </w:style>
  <w:style w:type="character" w:customStyle="1" w:styleId="55">
    <w:name w:val="Footer Char"/>
    <w:basedOn w:val="32"/>
    <w:uiPriority w:val="99"/>
  </w:style>
  <w:style w:type="character" w:customStyle="1" w:styleId="56">
    <w:name w:val="Caption Char"/>
    <w:uiPriority w:val="99"/>
  </w:style>
  <w:style w:type="table" w:customStyle="1" w:styleId="57">
    <w:name w:val="Table Grid Light"/>
    <w:basedOn w:val="30"/>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0"/>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0"/>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0"/>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basedOn w:val="30"/>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basedOn w:val="30"/>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0"/>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basedOn w:val="30"/>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basedOn w:val="30"/>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basedOn w:val="30"/>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basedOn w:val="30"/>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basedOn w:val="30"/>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0"/>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basedOn w:val="30"/>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basedOn w:val="30"/>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basedOn w:val="30"/>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basedOn w:val="30"/>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basedOn w:val="30"/>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basedOn w:val="30"/>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basedOn w:val="30"/>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0"/>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basedOn w:val="30"/>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0"/>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basedOn w:val="30"/>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basedOn w:val="30"/>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0"/>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0"/>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0"/>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basedOn w:val="30"/>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0"/>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basedOn w:val="30"/>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basedOn w:val="30"/>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0"/>
    <w:uiPriority w:val="99"/>
    <w:pPr>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basedOn w:val="30"/>
    <w:uiPriority w:val="99"/>
    <w:pPr>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basedOn w:val="30"/>
    <w:qFormat/>
    <w:uiPriority w:val="99"/>
    <w:pPr>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basedOn w:val="30"/>
    <w:uiPriority w:val="99"/>
    <w:pPr>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basedOn w:val="30"/>
    <w:uiPriority w:val="99"/>
    <w:pPr>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basedOn w:val="30"/>
    <w:qFormat/>
    <w:uiPriority w:val="99"/>
    <w:pPr>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0"/>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basedOn w:val="30"/>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basedOn w:val="30"/>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basedOn w:val="30"/>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0"/>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basedOn w:val="30"/>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basedOn w:val="30"/>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basedOn w:val="30"/>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basedOn w:val="30"/>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basedOn w:val="30"/>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0"/>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basedOn w:val="30"/>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basedOn w:val="30"/>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basedOn w:val="30"/>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basedOn w:val="30"/>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basedOn w:val="30"/>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basedOn w:val="30"/>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0"/>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basedOn w:val="30"/>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basedOn w:val="30"/>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basedOn w:val="30"/>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basedOn w:val="30"/>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basedOn w:val="30"/>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basedOn w:val="30"/>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0"/>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basedOn w:val="30"/>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0"/>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0"/>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0"/>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0"/>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0"/>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basedOn w:val="30"/>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0"/>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0"/>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0"/>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0"/>
    <w:qFormat/>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0"/>
    <w:uiPriority w:val="99"/>
    <w:pPr>
      <w:spacing w:after="0" w:line="240" w:lineRule="auto"/>
    </w:pPr>
    <w:rPr>
      <w:color w:val="404040"/>
    </w:rP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basedOn w:val="30"/>
    <w:uiPriority w:val="99"/>
    <w:pPr>
      <w:spacing w:after="0" w:line="240" w:lineRule="auto"/>
    </w:pPr>
    <w:rPr>
      <w:color w:val="404040"/>
    </w:rP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basedOn w:val="30"/>
    <w:uiPriority w:val="99"/>
    <w:pPr>
      <w:spacing w:after="0" w:line="240" w:lineRule="auto"/>
    </w:pPr>
    <w:rPr>
      <w:color w:val="404040"/>
    </w:rP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basedOn w:val="30"/>
    <w:uiPriority w:val="99"/>
    <w:pPr>
      <w:spacing w:after="0" w:line="240" w:lineRule="auto"/>
    </w:pPr>
    <w:rPr>
      <w:color w:val="404040"/>
    </w:rP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basedOn w:val="30"/>
    <w:qFormat/>
    <w:uiPriority w:val="99"/>
    <w:pPr>
      <w:spacing w:after="0" w:line="240" w:lineRule="auto"/>
    </w:pPr>
    <w:rPr>
      <w:color w:val="404040"/>
    </w:rP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basedOn w:val="30"/>
    <w:uiPriority w:val="99"/>
    <w:pPr>
      <w:spacing w:after="0" w:line="240" w:lineRule="auto"/>
    </w:pPr>
    <w:rPr>
      <w:color w:val="404040"/>
    </w:rP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0"/>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basedOn w:val="30"/>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basedOn w:val="30"/>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basedOn w:val="30"/>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basedOn w:val="30"/>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basedOn w:val="30"/>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basedOn w:val="30"/>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basedOn w:val="30"/>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basedOn w:val="30"/>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basedOn w:val="30"/>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basedOn w:val="30"/>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4"/>
    <w:uiPriority w:val="99"/>
    <w:rPr>
      <w:sz w:val="18"/>
    </w:rPr>
  </w:style>
  <w:style w:type="character" w:customStyle="1" w:styleId="183">
    <w:name w:val="Endnote Text Char"/>
    <w:link w:val="17"/>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纯文本 Char"/>
    <w:link w:val="15"/>
    <w:uiPriority w:val="0"/>
    <w:rPr>
      <w:rFonts w:ascii="宋体" w:hAnsi="Courier New" w:eastAsia="宋体" w:cs="宋体"/>
      <w:kern w:val="2"/>
      <w:sz w:val="21"/>
      <w:szCs w:val="21"/>
      <w:lang w:val="en-US" w:eastAsia="zh-CN" w:bidi="ar-SA"/>
    </w:rPr>
  </w:style>
  <w:style w:type="character" w:customStyle="1" w:styleId="186">
    <w:name w:val="页脚 Char"/>
    <w:link w:val="19"/>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2010-08-18T06:58:00Z</dcterms:created>
  <dc:creator>微软中国</dc:creator>
  <cp:lastModifiedBy>李雪艺</cp:lastModifiedBy>
  <dcterms:modified xsi:type="dcterms:W3CDTF">2025-08-26T16:21:11Z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AF33393CED78474D776EAD68B0B40C9C</vt:lpwstr>
  </property>
</Properties>
</file>